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AE" w:rsidRDefault="004B4B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4BAE" w:rsidRDefault="004B4BAE">
      <w:pPr>
        <w:pStyle w:val="ConsPlusNormal"/>
        <w:jc w:val="both"/>
        <w:outlineLvl w:val="0"/>
      </w:pPr>
    </w:p>
    <w:p w:rsidR="004B4BAE" w:rsidRDefault="004B4BAE">
      <w:pPr>
        <w:pStyle w:val="ConsPlusNormal"/>
        <w:outlineLvl w:val="0"/>
      </w:pPr>
      <w:r>
        <w:t>Зарегистрировано в Минюсте России 25 марта 2016 г. N 41575</w:t>
      </w:r>
    </w:p>
    <w:p w:rsidR="004B4BAE" w:rsidRDefault="004B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Title"/>
        <w:jc w:val="center"/>
      </w:pPr>
      <w:r>
        <w:t>МИНИСТЕРСТВО ЭНЕРГЕТИКИ РОССИЙСКОЙ ФЕДЕРАЦИИ</w:t>
      </w:r>
    </w:p>
    <w:p w:rsidR="004B4BAE" w:rsidRDefault="004B4BAE">
      <w:pPr>
        <w:pStyle w:val="ConsPlusTitle"/>
        <w:jc w:val="center"/>
      </w:pPr>
    </w:p>
    <w:p w:rsidR="004B4BAE" w:rsidRDefault="004B4BAE">
      <w:pPr>
        <w:pStyle w:val="ConsPlusTitle"/>
        <w:jc w:val="center"/>
      </w:pPr>
      <w:r>
        <w:t>ПРИКАЗ</w:t>
      </w:r>
    </w:p>
    <w:p w:rsidR="004B4BAE" w:rsidRDefault="004B4BAE">
      <w:pPr>
        <w:pStyle w:val="ConsPlusTitle"/>
        <w:jc w:val="center"/>
      </w:pPr>
      <w:r>
        <w:t>от 4 февраля 2016 г. N 67</w:t>
      </w:r>
    </w:p>
    <w:p w:rsidR="004B4BAE" w:rsidRDefault="004B4BAE">
      <w:pPr>
        <w:pStyle w:val="ConsPlusTitle"/>
        <w:jc w:val="center"/>
      </w:pPr>
    </w:p>
    <w:p w:rsidR="004B4BAE" w:rsidRDefault="004B4BAE">
      <w:pPr>
        <w:pStyle w:val="ConsPlusTitle"/>
        <w:jc w:val="center"/>
      </w:pPr>
      <w:r>
        <w:t>ОБ УТВЕРЖДЕНИИ МЕТОДИКИ</w:t>
      </w:r>
    </w:p>
    <w:p w:rsidR="004B4BAE" w:rsidRDefault="004B4BAE">
      <w:pPr>
        <w:pStyle w:val="ConsPlusTitle"/>
        <w:jc w:val="center"/>
      </w:pPr>
      <w:r>
        <w:t>ОПРЕДЕЛЕНИЯ РАСЧЕТНО-ИЗМЕРИТЕЛЬНЫМ СПОСОБОМ ОБЪЕМА</w:t>
      </w:r>
    </w:p>
    <w:p w:rsidR="004B4BAE" w:rsidRDefault="004B4BAE">
      <w:pPr>
        <w:pStyle w:val="ConsPlusTitle"/>
        <w:jc w:val="center"/>
      </w:pPr>
      <w:r>
        <w:t>ПОТРЕБЛЕНИЯ ЭНЕРГЕТИЧЕСКОГО РЕСУРСА В НАТУРАЛЬНОМ</w:t>
      </w:r>
    </w:p>
    <w:p w:rsidR="004B4BAE" w:rsidRDefault="004B4BAE">
      <w:pPr>
        <w:pStyle w:val="ConsPlusTitle"/>
        <w:jc w:val="center"/>
      </w:pPr>
      <w:r>
        <w:t>ВЫРАЖЕНИИ ДЛЯ РЕАЛИЗАЦИИ МЕРОПРИЯТИЙ, НАПРАВЛЕННЫХ</w:t>
      </w:r>
    </w:p>
    <w:p w:rsidR="004B4BAE" w:rsidRDefault="004B4BAE">
      <w:pPr>
        <w:pStyle w:val="ConsPlusTitle"/>
        <w:jc w:val="center"/>
      </w:pPr>
      <w:r>
        <w:t>НА ЭНЕРГОСБЕРЕЖЕНИЕ И ПОВЫШЕНИЕ</w:t>
      </w:r>
    </w:p>
    <w:p w:rsidR="004B4BAE" w:rsidRDefault="004B4BAE">
      <w:pPr>
        <w:pStyle w:val="ConsPlusTitle"/>
        <w:jc w:val="center"/>
      </w:pPr>
      <w:r>
        <w:t>ЭНЕРГЕТИЧЕСКОЙ ЭФФЕКТИВНОСТИ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 октября 2013 г. N 859 "О внесении изменений в постановление Правительства Российской Федерации от 18 августа 2010 г. N 636" (Собрание законодательства Российской Федерации, 2013, N 40, ст. 5085) приказываю: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определения расчетно-измерительным способом объема потребления энергетического ресурса в натуральном выражении для реализации мероприятий, направленных на энергосбережение и повышение энергетической эффективности.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right"/>
      </w:pPr>
      <w:r>
        <w:t>Министр</w:t>
      </w:r>
    </w:p>
    <w:p w:rsidR="004B4BAE" w:rsidRDefault="004B4BAE">
      <w:pPr>
        <w:pStyle w:val="ConsPlusNormal"/>
        <w:jc w:val="right"/>
      </w:pPr>
      <w:r>
        <w:t>А.В.НОВАК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right"/>
        <w:outlineLvl w:val="0"/>
      </w:pPr>
      <w:r>
        <w:t>Утверждено</w:t>
      </w:r>
    </w:p>
    <w:p w:rsidR="004B4BAE" w:rsidRDefault="004B4BAE">
      <w:pPr>
        <w:pStyle w:val="ConsPlusNormal"/>
        <w:jc w:val="right"/>
      </w:pPr>
      <w:r>
        <w:t>приказом Минэнерго России</w:t>
      </w:r>
    </w:p>
    <w:p w:rsidR="004B4BAE" w:rsidRDefault="004B4BAE">
      <w:pPr>
        <w:pStyle w:val="ConsPlusNormal"/>
        <w:jc w:val="right"/>
      </w:pPr>
      <w:r>
        <w:t>от 04.02.2016 N 67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Title"/>
        <w:jc w:val="center"/>
      </w:pPr>
      <w:bookmarkStart w:id="0" w:name="P30"/>
      <w:bookmarkEnd w:id="0"/>
      <w:r>
        <w:t>МЕТОДИКА</w:t>
      </w:r>
    </w:p>
    <w:p w:rsidR="004B4BAE" w:rsidRDefault="004B4BAE">
      <w:pPr>
        <w:pStyle w:val="ConsPlusTitle"/>
        <w:jc w:val="center"/>
      </w:pPr>
      <w:r>
        <w:t>ОПРЕДЕЛЕНИЯ РАСЧЕТНО-ИЗМЕРИТЕЛЬНЫМ СПОСОБОМ ОБЪЕМА</w:t>
      </w:r>
    </w:p>
    <w:p w:rsidR="004B4BAE" w:rsidRDefault="004B4BAE">
      <w:pPr>
        <w:pStyle w:val="ConsPlusTitle"/>
        <w:jc w:val="center"/>
      </w:pPr>
      <w:r>
        <w:t>ПОТРЕБЛЕНИЯ ЭНЕРГЕТИЧЕСКОГО РЕСУРСА В НАТУРАЛЬНОМ</w:t>
      </w:r>
    </w:p>
    <w:p w:rsidR="004B4BAE" w:rsidRDefault="004B4BAE">
      <w:pPr>
        <w:pStyle w:val="ConsPlusTitle"/>
        <w:jc w:val="center"/>
      </w:pPr>
      <w:r>
        <w:t>ВЫРАЖЕНИИ ДЛЯ РЕАЛИЗАЦИИ МЕРОПРИЯТИЙ, НАПРАВЛЕННЫХ</w:t>
      </w:r>
    </w:p>
    <w:p w:rsidR="004B4BAE" w:rsidRDefault="004B4BAE">
      <w:pPr>
        <w:pStyle w:val="ConsPlusTitle"/>
        <w:jc w:val="center"/>
      </w:pPr>
      <w:r>
        <w:t>НА ЭНЕРГОСБЕРЕЖЕНИЕ И ПОВЫШЕНИЕ</w:t>
      </w:r>
    </w:p>
    <w:p w:rsidR="004B4BAE" w:rsidRDefault="004B4BAE">
      <w:pPr>
        <w:pStyle w:val="ConsPlusTitle"/>
        <w:jc w:val="center"/>
      </w:pPr>
      <w:r>
        <w:t>ЭНЕРГЕТИЧЕСКОЙ ЭФФЕКТИВНОСТИ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center"/>
        <w:outlineLvl w:val="1"/>
      </w:pPr>
      <w:r>
        <w:t>I. Общие положения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ind w:firstLine="540"/>
        <w:jc w:val="both"/>
      </w:pPr>
      <w:r>
        <w:t xml:space="preserve">1.1. Настоящая методика определения расчетно-измерительным способом объема потребления энергетического ресурса в натуральном выражении для реализации мероприятий, направленных на энергосбережение и повышение энергетической эффективности (далее - Методика), разработана в целях установления порядка определения расчетно-измерительным способом объема потребления государственным (муниципальным) заказчиком (далее - заказчик) энергетического ресурса в натуральном выражении до и после реализации исполнителем энергосервисного договора (контракта) мероприятий, направленных на энергосбережение и </w:t>
      </w:r>
      <w:r>
        <w:lastRenderedPageBreak/>
        <w:t>повышение энергетической эффективности.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1.2. Настоящая Методика используется для определения расчетно-измерительным способом объема потребления энергетических ресурсов в натуральном выражении до и после реализации следующих мероприятий, направленных на энергосбережение и повышение энергетической эффективности (далее - мероприятия):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мероприятий по повышению энергетической эффективности систем внутреннего и наружного освещения;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мероприятий по повышению энергетической эффективности использования электродвигателей, в том числе в составе технологических комплексов (насосных, компрессорных и прочих);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мероприятий по повышению энергетической эффективности систем теплоснабжения зданий, строений и сооружений.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1.3. Под базовым периодом в настоящей Методике понимается период времени, выбранный для получения информации о параметрах, на основе которых может быть рассчитан объем потребления энергетических ресурсов до реализации мероприятий в соответствии с энергосервисным договором (контрактом). Период времени между окончанием базового периода и началом отчетного периода не может превышать 1 календарный год.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1.4. Под отчетным периодом в настоящей Методике понимается период, за который рассчитывается экономия энергетических ресурсов в натуральном выражении, достигнутая по результатам реализации мероприятий. Отчетный период не может превышать 1 календарный год.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 xml:space="preserve">1.5. Определение объема потребления энергетических ресурсов в базовом и отчетном периодах на объекте заказчика, в отношении которого проводится мероприятие, осуществляется расчетно-измерительным способом с учетом особенностей, установленных </w:t>
      </w:r>
      <w:hyperlink w:anchor="P51" w:history="1">
        <w:r>
          <w:rPr>
            <w:color w:val="0000FF"/>
          </w:rPr>
          <w:t>главами II</w:t>
        </w:r>
      </w:hyperlink>
      <w:r>
        <w:t xml:space="preserve"> - </w:t>
      </w:r>
      <w:hyperlink w:anchor="P199" w:history="1">
        <w:r>
          <w:rPr>
            <w:color w:val="0000FF"/>
          </w:rPr>
          <w:t>V</w:t>
        </w:r>
      </w:hyperlink>
      <w:r>
        <w:t xml:space="preserve"> настоящей Методики, на основе значений параметров: для электрической энергии - мощности и времени работы энергопринимающей установки, в отношении которой проводится мероприятие, либо объема потребления электрической энергии такой энергопринимающей установки и объема потребления электрической энергии иных энергопринимающих установок, для тепловой энергии - количества тепловой энергии и продолжительности периода отопления при условии, что значение не менее одного из данных параметров должно быть измерено.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1.6. Способы определения значений объема потребления энергетических ресурсов, параметров мощности и времени работы системы, периоды, время и точки проведения измерений (наблюдений) в отчетном периоде должны быть аналогичны используемым в базовом периоде.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В случае установки в отчетном периоде приборов учета потребления электрической энергии, показания которых соответствуют объему потребления электрической энергии энергопринимающими установками, в отношении которых проводится мероприятие, определение объема потребления электрической энергии в отчетном периоде осуществляется по фактическим показаниям данных приборов учета.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1.7. Измерение и сопоставление значений параметров в базовом и отчетном периодах осуществляются в соответствии с законодательством Российской Федерации об обеспечении единства измерений и законодательством Российской Федерации об энергосбережении и о повышении энергетической эффективности.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center"/>
        <w:outlineLvl w:val="1"/>
      </w:pPr>
      <w:bookmarkStart w:id="1" w:name="P51"/>
      <w:bookmarkEnd w:id="1"/>
      <w:r>
        <w:t>II. Определение расчетно-измерительным способом объема</w:t>
      </w:r>
    </w:p>
    <w:p w:rsidR="004B4BAE" w:rsidRDefault="004B4BAE">
      <w:pPr>
        <w:pStyle w:val="ConsPlusNormal"/>
        <w:jc w:val="center"/>
      </w:pPr>
      <w:r>
        <w:t>потребления энергетического ресурса в натуральном выражении</w:t>
      </w:r>
    </w:p>
    <w:p w:rsidR="004B4BAE" w:rsidRDefault="004B4BAE">
      <w:pPr>
        <w:pStyle w:val="ConsPlusNormal"/>
        <w:jc w:val="center"/>
      </w:pPr>
      <w:r>
        <w:t>для реализации мероприятий по повышению энергетической</w:t>
      </w:r>
    </w:p>
    <w:p w:rsidR="004B4BAE" w:rsidRDefault="004B4BAE">
      <w:pPr>
        <w:pStyle w:val="ConsPlusNormal"/>
        <w:jc w:val="center"/>
      </w:pPr>
      <w:r>
        <w:lastRenderedPageBreak/>
        <w:t>эффективности систем внутреннего освещения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ind w:firstLine="540"/>
        <w:jc w:val="both"/>
      </w:pPr>
      <w:r>
        <w:t>2.1. Определение расчетно-измерительным способом объема потребления электрической энергии на цели внутреннего освещения в базовом и отчетном периодах осуществляется одним из следующих способов: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 xml:space="preserve">на основании показаний прибора учета потребляемой электрической энергии системой внутреннего освещения и иными энергопотребляющими установками в соответствии с </w:t>
      </w:r>
      <w:hyperlink w:anchor="P60" w:history="1">
        <w:r>
          <w:rPr>
            <w:color w:val="0000FF"/>
          </w:rPr>
          <w:t>пунктом 2.3</w:t>
        </w:r>
      </w:hyperlink>
      <w:r>
        <w:t xml:space="preserve"> настоящей Методики;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 xml:space="preserve">на основании данных о времени работы системы внутреннего освещения и ее мощности в соответствии с </w:t>
      </w:r>
      <w:hyperlink w:anchor="P79" w:history="1">
        <w:r>
          <w:rPr>
            <w:color w:val="0000FF"/>
          </w:rPr>
          <w:t>пунктом 2.4</w:t>
        </w:r>
      </w:hyperlink>
      <w:r>
        <w:t xml:space="preserve"> настоящей Методики.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2.2. Для определения расчетно-измерительным способом объема потребления электрической энергии на цели внутреннего освещения в базовом и отчетном периодах определяется перечень категорий помещений (i), в которых будут проведены измерения, на основе их функционального назначения, периодов времени их использования.</w:t>
      </w:r>
    </w:p>
    <w:p w:rsidR="004B4BAE" w:rsidRDefault="004B4BAE">
      <w:pPr>
        <w:pStyle w:val="ConsPlusNormal"/>
        <w:spacing w:before="220"/>
        <w:ind w:firstLine="540"/>
        <w:jc w:val="both"/>
      </w:pPr>
      <w:bookmarkStart w:id="2" w:name="P60"/>
      <w:bookmarkEnd w:id="2"/>
      <w:r>
        <w:t>2.3. Объем потребления электрической энергии на цели внутреннего освещения (W</w:t>
      </w:r>
      <w:r>
        <w:rPr>
          <w:vertAlign w:val="subscript"/>
        </w:rPr>
        <w:t>вн</w:t>
      </w:r>
      <w:r>
        <w:t>) определяется на основании показаний прибора учета потребляемой электрической энергии системой внутреннего освещения и иными энергопотребляющими установками в базовом и отчетном периодах по следующей формуле: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center"/>
      </w:pPr>
      <w:r>
        <w:t>W</w:t>
      </w:r>
      <w:r>
        <w:rPr>
          <w:vertAlign w:val="subscript"/>
        </w:rPr>
        <w:t>вн</w:t>
      </w:r>
      <w:r>
        <w:t xml:space="preserve"> = W</w:t>
      </w:r>
      <w:r>
        <w:rPr>
          <w:vertAlign w:val="subscript"/>
        </w:rPr>
        <w:t>вн.ПУ</w:t>
      </w:r>
      <w:r>
        <w:t xml:space="preserve"> - W</w:t>
      </w:r>
      <w:r>
        <w:rPr>
          <w:vertAlign w:val="subscript"/>
        </w:rPr>
        <w:t>доп</w:t>
      </w:r>
      <w:r>
        <w:t xml:space="preserve"> (кВт·ч), (1)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ind w:firstLine="540"/>
        <w:jc w:val="both"/>
      </w:pPr>
      <w:r>
        <w:t>где: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вн.ПУ</w:t>
      </w:r>
      <w:r>
        <w:t xml:space="preserve"> - объем потребления электрической энергии на цели внутреннего освещения по показаниям приборов учета с учетом объема потребления электрической энергии иными энергопотребляющими установками, кВт·ч;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доп</w:t>
      </w:r>
      <w:r>
        <w:t xml:space="preserve"> - объем потребления электрической энергии иными энергопотребляющими установками, подключенными к системе электроснабжения внутреннего освещения, кВт·ч.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2.3.1. Объем потребления электрической энергии иными энергопотребляющими установками, подключенными к системе электроснабжения внутреннего освещения (W</w:t>
      </w:r>
      <w:r>
        <w:rPr>
          <w:vertAlign w:val="subscript"/>
        </w:rPr>
        <w:t>доп</w:t>
      </w:r>
      <w:r>
        <w:t>), определяется по формуле: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center"/>
      </w:pPr>
      <w:r w:rsidRPr="009A4170">
        <w:rPr>
          <w:position w:val="-27"/>
        </w:rPr>
        <w:pict>
          <v:shape id="_x0000_i1025" style="width:79.45pt;height:38.7pt" coordsize="" o:spt="100" adj="0,,0" path="" filled="f" stroked="f">
            <v:stroke joinstyle="miter"/>
            <v:imagedata r:id="rId7" o:title="base_1_196001_32768"/>
            <v:formulas/>
            <v:path o:connecttype="segments"/>
          </v:shape>
        </w:pict>
      </w:r>
      <w:r>
        <w:t xml:space="preserve"> (кВт·ч), (2)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ind w:firstLine="540"/>
        <w:jc w:val="both"/>
      </w:pPr>
      <w:r>
        <w:t>где: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j - порядковый номер системы, оборудования;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n - количество систем, оборудования;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jдоп</w:t>
      </w:r>
      <w:r>
        <w:t xml:space="preserve"> - объем потребления электрической энергии j-й энергопотребляющей установкой, подключенной к системе электроснабжения внутреннего освещения, кВт·ч.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2.3.2. Объем потребления электрической энергии j-й энергопотребляющей установкой, подключенной к системе электроснабжения внутреннего освещения (W</w:t>
      </w:r>
      <w:r>
        <w:rPr>
          <w:vertAlign w:val="subscript"/>
        </w:rPr>
        <w:t>jдоп</w:t>
      </w:r>
      <w:r>
        <w:t>), определяется: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на основании данных о присоединенной мощности такой установки;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lastRenderedPageBreak/>
        <w:t>на основании данных измерений мощности или объема потребления электрической энергии такой установки.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 xml:space="preserve">2.3.3. В случае несоответствия освещенности установленным нормам или наличия неработающих световых приборов объем потребления электрической энергии на цели внутреннего освещения в базовом периоде определяется в соответствии с </w:t>
      </w:r>
      <w:hyperlink w:anchor="P79" w:history="1">
        <w:r>
          <w:rPr>
            <w:color w:val="0000FF"/>
          </w:rPr>
          <w:t>пунктом 2.4</w:t>
        </w:r>
      </w:hyperlink>
      <w:r>
        <w:t xml:space="preserve"> настоящей Методики.</w:t>
      </w:r>
    </w:p>
    <w:p w:rsidR="004B4BAE" w:rsidRDefault="004B4BAE">
      <w:pPr>
        <w:pStyle w:val="ConsPlusNormal"/>
        <w:spacing w:before="220"/>
        <w:ind w:firstLine="540"/>
        <w:jc w:val="both"/>
      </w:pPr>
      <w:bookmarkStart w:id="3" w:name="P79"/>
      <w:bookmarkEnd w:id="3"/>
      <w:r>
        <w:t>2.4. Объем потребления электрической энергии на цели внутреннего освещения (W</w:t>
      </w:r>
      <w:r>
        <w:rPr>
          <w:vertAlign w:val="subscript"/>
        </w:rPr>
        <w:t>вн</w:t>
      </w:r>
      <w:r>
        <w:t>) в базовом и отчетном периодах определяется на основании данных о времени работы системы внутреннего освещения и ее мощности по следующей формуле: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center"/>
      </w:pPr>
      <w:bookmarkStart w:id="4" w:name="P81"/>
      <w:bookmarkEnd w:id="4"/>
      <w:r w:rsidRPr="009A4170">
        <w:rPr>
          <w:position w:val="-26"/>
        </w:rPr>
        <w:pict>
          <v:shape id="_x0000_i1026" style="width:135.15pt;height:37.35pt" coordsize="" o:spt="100" adj="0,,0" path="" filled="f" stroked="f">
            <v:stroke joinstyle="miter"/>
            <v:imagedata r:id="rId8" o:title="base_1_196001_32769"/>
            <v:formulas/>
            <v:path o:connecttype="segments"/>
          </v:shape>
        </w:pict>
      </w:r>
      <w:r>
        <w:t xml:space="preserve"> (кВт·ч), (3)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ind w:firstLine="540"/>
        <w:jc w:val="both"/>
      </w:pPr>
      <w:r>
        <w:t>где: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i - порядковый номер категории помещений;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n - количество категорий помещений;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iвн.расчет</w:t>
      </w:r>
      <w:r>
        <w:t xml:space="preserve"> - количество часов работы световых приборов в помещениях i-й категории, ч;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iвн.расчет</w:t>
      </w:r>
      <w:r>
        <w:t xml:space="preserve"> - мощность, потребляемая световыми приборами в помещениях i-й категории, кВт.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2.4.1. Количество часов работы световых приборов (T</w:t>
      </w:r>
      <w:r>
        <w:rPr>
          <w:vertAlign w:val="subscript"/>
        </w:rPr>
        <w:t>iвн.расчет</w:t>
      </w:r>
      <w:r>
        <w:t>) для каждой категории помещений определяется по следующей формуле: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center"/>
      </w:pPr>
      <w:r>
        <w:t>T</w:t>
      </w:r>
      <w:r>
        <w:rPr>
          <w:vertAlign w:val="subscript"/>
        </w:rPr>
        <w:t>iвн.расчет</w:t>
      </w:r>
      <w:r>
        <w:t xml:space="preserve"> = N</w:t>
      </w:r>
      <w:r>
        <w:rPr>
          <w:vertAlign w:val="subscript"/>
        </w:rPr>
        <w:t>p</w:t>
      </w:r>
      <w:r>
        <w:t xml:space="preserve"> · T</w:t>
      </w:r>
      <w:r>
        <w:rPr>
          <w:vertAlign w:val="subscript"/>
        </w:rPr>
        <w:t>iср.р</w:t>
      </w:r>
      <w:r>
        <w:t xml:space="preserve"> + N</w:t>
      </w:r>
      <w:r>
        <w:rPr>
          <w:vertAlign w:val="subscript"/>
        </w:rPr>
        <w:t>н</w:t>
      </w:r>
      <w:r>
        <w:t xml:space="preserve"> · T</w:t>
      </w:r>
      <w:r>
        <w:rPr>
          <w:vertAlign w:val="subscript"/>
        </w:rPr>
        <w:t>iср.н</w:t>
      </w:r>
      <w:r>
        <w:t xml:space="preserve"> (ч), (4)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ind w:firstLine="540"/>
        <w:jc w:val="both"/>
      </w:pPr>
      <w:r>
        <w:t>где: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i - порядковый номер категории помещений;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p</w:t>
      </w:r>
      <w:r>
        <w:t xml:space="preserve"> - количество рабочих дней;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iср.р</w:t>
      </w:r>
      <w:r>
        <w:t xml:space="preserve"> - среднее количество часов работы световых приборов в рабочий день в помещении i-й категории, ч;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н</w:t>
      </w:r>
      <w:r>
        <w:t xml:space="preserve"> - количество нерабочих дней;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iср.н</w:t>
      </w:r>
      <w:r>
        <w:t xml:space="preserve"> - среднее количество часов работы световых приборов в нерабочий день в помещении i-й категории, ч.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2.4.2. Среднее количество часов работы световых приборов в рабочий день в помещении i-й категории (T</w:t>
      </w:r>
      <w:r>
        <w:rPr>
          <w:vertAlign w:val="subscript"/>
        </w:rPr>
        <w:t>iср.р</w:t>
      </w:r>
      <w:r>
        <w:t>) и среднее количество часов работы световых приборов в нерабочий день в помещении i-й категории (T</w:t>
      </w:r>
      <w:r>
        <w:rPr>
          <w:vertAlign w:val="subscript"/>
        </w:rPr>
        <w:t>iср.н</w:t>
      </w:r>
      <w:r>
        <w:t>) определяется для каждой категории помещений в отдельности одним из следующих способов: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а) на основании графиков работы световых приборов в каждой категории помещений;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б) на основании журнала учета времени работы системы освещения;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в) на основе данных специализированных устройств, фиксирующих график работы системы освещения.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lastRenderedPageBreak/>
        <w:t>2.4.3. Для определения мощности, потребляемой световыми приборами в базовом и отчетном периодах, выбираются контрольные световые приборы с одинаковыми техническими характеристиками (однотипные световые приборы), в отношении которых будут проведены измерения мощности световых приборов (ламп и драйверов (балластов)), исходя из условия, что измерения проводятся для 10% от всех световых приборов с одинаковыми техническими характеристиками (однотипные световые приборы), но не более 100 штук.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2.4.4. Мощность, потребляемая световыми приборами в базовом и отчетном периодах, определяется на основе измерений, которые проводятся не ранее чем через 100 часов работы световых приборов с момента их установки и не ранее чем через один час после включения светового прибора.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2.4.5. Мощность, потребляемая световыми приборами (P</w:t>
      </w:r>
      <w:r>
        <w:rPr>
          <w:vertAlign w:val="subscript"/>
        </w:rPr>
        <w:t>iвн.расчет</w:t>
      </w:r>
      <w:r>
        <w:t>), в помещениях i-й категории в базовом и отчетном периодах определяется по следующей формуле: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center"/>
      </w:pPr>
      <w:r w:rsidRPr="009A4170">
        <w:rPr>
          <w:position w:val="-27"/>
        </w:rPr>
        <w:pict>
          <v:shape id="_x0000_i1027" style="width:90.35pt;height:38.7pt" coordsize="" o:spt="100" adj="0,,0" path="" filled="f" stroked="f">
            <v:stroke joinstyle="miter"/>
            <v:imagedata r:id="rId9" o:title="base_1_196001_32770"/>
            <v:formulas/>
            <v:path o:connecttype="segments"/>
          </v:shape>
        </w:pict>
      </w:r>
      <w:r>
        <w:t xml:space="preserve"> (кВт), (5)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ind w:firstLine="540"/>
        <w:jc w:val="both"/>
      </w:pPr>
      <w:r>
        <w:t>где: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j - порядковый номер типа световых приборов (световых приборов с одинаковыми техническими характеристиками);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m - количество типов световых приборов (световых приборов с одинаковыми техническими характеристиками);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jвн</w:t>
      </w:r>
      <w:r>
        <w:t xml:space="preserve"> - суммарная мощность световых приборов j-го типа в помещениях i-й категории, кВт.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2.4.6. Суммарная мощность световых приборов j-го типа (P</w:t>
      </w:r>
      <w:r>
        <w:rPr>
          <w:vertAlign w:val="subscript"/>
        </w:rPr>
        <w:t>jвн</w:t>
      </w:r>
      <w:r>
        <w:t>) в помещениях i-й категории в базовом и отчетном периодах определяется по следующей формуле: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center"/>
      </w:pPr>
      <w:r w:rsidRPr="009A4170">
        <w:rPr>
          <w:position w:val="-26"/>
        </w:rPr>
        <w:pict>
          <v:shape id="_x0000_i1028" style="width:137.2pt;height:37.35pt" coordsize="" o:spt="100" adj="0,,0" path="" filled="f" stroked="f">
            <v:stroke joinstyle="miter"/>
            <v:imagedata r:id="rId10" o:title="base_1_196001_32771"/>
            <v:formulas/>
            <v:path o:connecttype="segments"/>
          </v:shape>
        </w:pict>
      </w:r>
      <w:r>
        <w:t xml:space="preserve"> (кВт), (6)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ind w:firstLine="540"/>
        <w:jc w:val="both"/>
      </w:pPr>
      <w:r>
        <w:t>где: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f - порядковый номер контрольного светового прибора j-го типа;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k - количество используемых контрольных световых приборов j-го типа;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jвн</w:t>
      </w:r>
      <w:r>
        <w:t xml:space="preserve"> - количество работающих и неработающих световых приборов j-го типа, используемых в помещениях i-й категории;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fконтр.вн</w:t>
      </w:r>
      <w:r>
        <w:t xml:space="preserve"> - измеренная мощность f-го контрольного светового прибора, кВт.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2.4.7. В случае несоответствия освещенности в помещениях i-й категории установленным нормам или наличия неработающих световых приборов в базовый период вместо мощности, потребляемой световыми приборами в помещениях i-й категории в базовый период (P</w:t>
      </w:r>
      <w:r>
        <w:rPr>
          <w:vertAlign w:val="subscript"/>
        </w:rPr>
        <w:t>iвн.расчет</w:t>
      </w:r>
      <w:r>
        <w:t xml:space="preserve">), в </w:t>
      </w:r>
      <w:hyperlink w:anchor="P81" w:history="1">
        <w:r>
          <w:rPr>
            <w:color w:val="0000FF"/>
          </w:rPr>
          <w:t>формуле (3)</w:t>
        </w:r>
      </w:hyperlink>
      <w:r>
        <w:t xml:space="preserve"> применяется приведенная мощность, потребляемая световыми приборами в помещениях i-й категории в базовый период (P</w:t>
      </w:r>
      <w:r>
        <w:rPr>
          <w:vertAlign w:val="subscript"/>
        </w:rPr>
        <w:t>iб.вн.расчет.приведен</w:t>
      </w:r>
      <w:r>
        <w:t>), которая определяется по следующей формуле: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center"/>
      </w:pPr>
      <w:r w:rsidRPr="009A4170">
        <w:rPr>
          <w:position w:val="-36"/>
        </w:rPr>
        <w:lastRenderedPageBreak/>
        <w:pict>
          <v:shape id="_x0000_i1029" style="width:406.2pt;height:47.55pt" coordsize="" o:spt="100" adj="0,,0" path="" filled="f" stroked="f">
            <v:stroke joinstyle="miter"/>
            <v:imagedata r:id="rId11" o:title="base_1_196001_32772"/>
            <v:formulas/>
            <v:path o:connecttype="segments"/>
          </v:shape>
        </w:pict>
      </w:r>
      <w:r>
        <w:t xml:space="preserve"> (кВт), (7)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ind w:firstLine="540"/>
        <w:jc w:val="both"/>
      </w:pPr>
      <w:r>
        <w:t>где: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i - порядковый номер категории помещения;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iб.вн.расчет.сумм</w:t>
      </w:r>
      <w:r>
        <w:t xml:space="preserve"> - суммарная мощность работающих и неработающих световых приборов в помещениях i-й категории в базовый период, кВт;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E</w:t>
      </w:r>
      <w:r>
        <w:rPr>
          <w:vertAlign w:val="subscript"/>
        </w:rPr>
        <w:t>iвн.норм</w:t>
      </w:r>
      <w:r>
        <w:t xml:space="preserve"> - нормативный уровень освещенности в помещениях i-й категории, зафиксированный в санитарных правилах и нормах, люкс;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E</w:t>
      </w:r>
      <w:r>
        <w:rPr>
          <w:vertAlign w:val="subscript"/>
        </w:rPr>
        <w:t>iб.вн.расчет</w:t>
      </w:r>
      <w:r>
        <w:t xml:space="preserve"> - средний уровень освещенности в помещениях i-й категории, рассчитанный с учетом мощности неработающих световых приборов в базовый период, люкс.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 xml:space="preserve">2.4.8. Учет снижения мощности, потребляемой световыми приборами, и (или) количества часов их работы в результате использования технологий интеллектуального управления системой внутреннего освещения при определении объема потребления электрической энергии осуществляется в соответствии с </w:t>
      </w:r>
      <w:hyperlink w:anchor="P79" w:history="1">
        <w:r>
          <w:rPr>
            <w:color w:val="0000FF"/>
          </w:rPr>
          <w:t>пунктом 2.4</w:t>
        </w:r>
      </w:hyperlink>
      <w:r>
        <w:t xml:space="preserve"> настоящей Методики при условии фиксированного цикличного графика работы световых приборов при использовании таких технологий.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center"/>
        <w:outlineLvl w:val="1"/>
      </w:pPr>
      <w:r>
        <w:t>III. Определение расчетно-измерительным способом объема</w:t>
      </w:r>
    </w:p>
    <w:p w:rsidR="004B4BAE" w:rsidRDefault="004B4BAE">
      <w:pPr>
        <w:pStyle w:val="ConsPlusNormal"/>
        <w:jc w:val="center"/>
      </w:pPr>
      <w:r>
        <w:t>потребления энергетического ресурса в натуральном выражении</w:t>
      </w:r>
    </w:p>
    <w:p w:rsidR="004B4BAE" w:rsidRDefault="004B4BAE">
      <w:pPr>
        <w:pStyle w:val="ConsPlusNormal"/>
        <w:jc w:val="center"/>
      </w:pPr>
      <w:r>
        <w:t>для реализации мероприятий по повышению энергетической</w:t>
      </w:r>
    </w:p>
    <w:p w:rsidR="004B4BAE" w:rsidRDefault="004B4BAE">
      <w:pPr>
        <w:pStyle w:val="ConsPlusNormal"/>
        <w:jc w:val="center"/>
      </w:pPr>
      <w:r>
        <w:t>эффективности систем наружного освещения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ind w:firstLine="540"/>
        <w:jc w:val="both"/>
      </w:pPr>
      <w:r>
        <w:t>3.1. Для определения объема потребления электрической энергии на цели наружного освещения (W</w:t>
      </w:r>
      <w:r>
        <w:rPr>
          <w:vertAlign w:val="subscript"/>
        </w:rPr>
        <w:t>нар</w:t>
      </w:r>
      <w:r>
        <w:t>) в базовом и отчетном периодах определяется перечень категорий участков (i) на основе их функционального назначения.</w:t>
      </w:r>
    </w:p>
    <w:p w:rsidR="004B4BAE" w:rsidRDefault="004B4BAE">
      <w:pPr>
        <w:pStyle w:val="ConsPlusNormal"/>
        <w:spacing w:before="220"/>
        <w:ind w:firstLine="540"/>
        <w:jc w:val="both"/>
      </w:pPr>
      <w:bookmarkStart w:id="5" w:name="P138"/>
      <w:bookmarkEnd w:id="5"/>
      <w:r>
        <w:t>3.2. Объем потребления электрической энергии на цели наружного освещения (W</w:t>
      </w:r>
      <w:r>
        <w:rPr>
          <w:vertAlign w:val="subscript"/>
        </w:rPr>
        <w:t>нар</w:t>
      </w:r>
      <w:r>
        <w:t>) в базовом и отчетном периодах определяется по следующей формуле: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center"/>
      </w:pPr>
      <w:bookmarkStart w:id="6" w:name="P140"/>
      <w:bookmarkEnd w:id="6"/>
      <w:r w:rsidRPr="009A4170">
        <w:rPr>
          <w:position w:val="-26"/>
        </w:rPr>
        <w:pict>
          <v:shape id="_x0000_i1030" style="width:120.9pt;height:37.35pt" coordsize="" o:spt="100" adj="0,,0" path="" filled="f" stroked="f">
            <v:stroke joinstyle="miter"/>
            <v:imagedata r:id="rId12" o:title="base_1_196001_32773"/>
            <v:formulas/>
            <v:path o:connecttype="segments"/>
          </v:shape>
        </w:pict>
      </w:r>
      <w:r>
        <w:t xml:space="preserve"> (кВт·ч), (8)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ind w:firstLine="540"/>
        <w:jc w:val="both"/>
      </w:pPr>
      <w:r>
        <w:t>где: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i - порядковый номер категории участка;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n - количество категорий участков;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нар</w:t>
      </w:r>
      <w:r>
        <w:t xml:space="preserve"> - количество часов работы системы наружного освещения, ч;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iнар.расчет</w:t>
      </w:r>
      <w:r>
        <w:t xml:space="preserve"> - мощность световых приборов на участках i-й категории, кВт;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3.3. Количество часов работы световых приборов системы наружного освещения (T</w:t>
      </w:r>
      <w:r>
        <w:rPr>
          <w:vertAlign w:val="subscript"/>
        </w:rPr>
        <w:t>нар</w:t>
      </w:r>
      <w:r>
        <w:t xml:space="preserve">) определяется на основании графика работы (включения и отключения) установок наружного освещения, утвержденного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Минэнерго России от 13 января 2003 г. N 6 "Об утверждении Правил технической эксплуатации электроустановок потребителей" (зарегистрирован Минюстом России 22 января 2003 г., регистрационный N 4145).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 xml:space="preserve">3.4. Для определения мощности световых приборов на участках i-й категории выбираются </w:t>
      </w:r>
      <w:r>
        <w:lastRenderedPageBreak/>
        <w:t>контрольные световые приборы с одинаковыми техническими характеристиками (однотипные световые приборы), в которых будут проведены измерения мощности световых приборов (ламп и драйверов (балластов)), исходя из условия, что измерения проводятся для 10% от всех световых приборов с одинаковыми техническими характеристиками (однотипных световых приборов), но не более 100 штук.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3.5. Мощность световых приборов в базовом и отчетном периодах определяется на основе измерений, которые проводятся не ранее чем через 100 часов работы световых приборов с момента их установки и не ранее чем через один час после включения светового прибора.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3.6. Мощность световых приборов на участках i-й категории (P</w:t>
      </w:r>
      <w:r>
        <w:rPr>
          <w:vertAlign w:val="subscript"/>
        </w:rPr>
        <w:t>iнар.расчет</w:t>
      </w:r>
      <w:r>
        <w:t>) в базовом и отчетном периодах определяется по следующей формуле: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center"/>
      </w:pPr>
      <w:r w:rsidRPr="009A4170">
        <w:rPr>
          <w:position w:val="-27"/>
        </w:rPr>
        <w:pict>
          <v:shape id="_x0000_i1031" style="width:98.5pt;height:38.7pt" coordsize="" o:spt="100" adj="0,,0" path="" filled="f" stroked="f">
            <v:stroke joinstyle="miter"/>
            <v:imagedata r:id="rId14" o:title="base_1_196001_32774"/>
            <v:formulas/>
            <v:path o:connecttype="segments"/>
          </v:shape>
        </w:pict>
      </w:r>
      <w:r>
        <w:t xml:space="preserve"> (кВт), (9)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ind w:firstLine="540"/>
        <w:jc w:val="both"/>
      </w:pPr>
      <w:r>
        <w:t>где: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j - порядковый номер типа световых приборов (световых приборов с одинаковыми техническими характеристиками);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m - количество типов световых приборов (световых приборов с одинаковыми техническими характеристиками);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jнар</w:t>
      </w:r>
      <w:r>
        <w:t xml:space="preserve"> - суммарная мощность световых приборов j-го типа, кВт.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3.7. Суммарная мощность световых приборов j-го типа (P</w:t>
      </w:r>
      <w:r>
        <w:rPr>
          <w:vertAlign w:val="subscript"/>
        </w:rPr>
        <w:t>jнар</w:t>
      </w:r>
      <w:r>
        <w:t>) определяется по следующей формуле: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center"/>
      </w:pPr>
      <w:r w:rsidRPr="009A4170">
        <w:rPr>
          <w:position w:val="-26"/>
        </w:rPr>
        <w:pict>
          <v:shape id="_x0000_i1032" style="width:146.7pt;height:37.35pt" coordsize="" o:spt="100" adj="0,,0" path="" filled="f" stroked="f">
            <v:stroke joinstyle="miter"/>
            <v:imagedata r:id="rId15" o:title="base_1_196001_32775"/>
            <v:formulas/>
            <v:path o:connecttype="segments"/>
          </v:shape>
        </w:pict>
      </w:r>
      <w:r>
        <w:t xml:space="preserve"> (кВт), (10)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ind w:firstLine="540"/>
        <w:jc w:val="both"/>
      </w:pPr>
      <w:r>
        <w:t>где: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f - порядковый номер контрольного светового прибора j-го типа;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k - количество контрольных световых приборов в j-м типе используемых световых приборов;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jнар</w:t>
      </w:r>
      <w:r>
        <w:t xml:space="preserve"> - количество работающих и неработающих световых приборов в j-м типе используемых световых приборов;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fконтр.нар</w:t>
      </w:r>
      <w:r>
        <w:t xml:space="preserve"> - измеренная мощность f-го контрольного светового прибора, кВт.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3.8. В случае несоответствия освещенности на участке i-й категории установленным нормам или наличия неработающих световых приборов в базовый период вместо мощности световых приборов на участках i-й категории в базовый период (P</w:t>
      </w:r>
      <w:r>
        <w:rPr>
          <w:vertAlign w:val="subscript"/>
        </w:rPr>
        <w:t>iнар.расчет</w:t>
      </w:r>
      <w:r>
        <w:t xml:space="preserve">) в </w:t>
      </w:r>
      <w:hyperlink w:anchor="P140" w:history="1">
        <w:r>
          <w:rPr>
            <w:color w:val="0000FF"/>
          </w:rPr>
          <w:t>формуле (8)</w:t>
        </w:r>
      </w:hyperlink>
      <w:r>
        <w:t xml:space="preserve"> применяется приведенная мощность световых приборов на участках i-й категории в базовый период (P</w:t>
      </w:r>
      <w:r>
        <w:rPr>
          <w:vertAlign w:val="subscript"/>
        </w:rPr>
        <w:t>iб.нар.приведен</w:t>
      </w:r>
      <w:r>
        <w:t>), которая определяется по следующей формуле: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center"/>
      </w:pPr>
      <w:r w:rsidRPr="009A4170">
        <w:rPr>
          <w:position w:val="-53"/>
        </w:rPr>
        <w:pict>
          <v:shape id="_x0000_i1033" style="width:312.45pt;height:64.55pt" coordsize="" o:spt="100" adj="0,,0" path="" filled="f" stroked="f">
            <v:stroke joinstyle="miter"/>
            <v:imagedata r:id="rId16" o:title="base_1_196001_32776"/>
            <v:formulas/>
            <v:path o:connecttype="segments"/>
          </v:shape>
        </w:pict>
      </w:r>
      <w:r>
        <w:t xml:space="preserve"> (кВт·ч), (11)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ind w:firstLine="540"/>
        <w:jc w:val="both"/>
      </w:pPr>
      <w:r>
        <w:t>где: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i - порядковый номер категории участков;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iб.нар.сумм</w:t>
      </w:r>
      <w:r>
        <w:t xml:space="preserve"> - суммарная мощность работающих и неработающих световых приборов на участках i-й категории, кВт;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E</w:t>
      </w:r>
      <w:r>
        <w:rPr>
          <w:vertAlign w:val="subscript"/>
        </w:rPr>
        <w:t>iнар.норм</w:t>
      </w:r>
      <w:r>
        <w:t xml:space="preserve"> - нормативный уровень освещенности на участках i-й категории, зафиксированный в санитарных правилах и нормах, люкс;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E</w:t>
      </w:r>
      <w:r>
        <w:rPr>
          <w:vertAlign w:val="subscript"/>
        </w:rPr>
        <w:t>iнар.расчет</w:t>
      </w:r>
      <w:r>
        <w:t xml:space="preserve"> - средний уровень освещенности на участках i-й категории, рассчитанный с учетом мощности неработающих световых приборов, люкс.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 xml:space="preserve">3.9. Учет снижения мощности, потребляемой световыми приборами, и (или) количества часов работы системы наружного освещения в результате использования технологий интеллектуального управления системой наружного освещения при определении объема потребления электрической энергии осуществляется в соответствии с </w:t>
      </w:r>
      <w:hyperlink w:anchor="P138" w:history="1">
        <w:r>
          <w:rPr>
            <w:color w:val="0000FF"/>
          </w:rPr>
          <w:t>пунктом 3.2</w:t>
        </w:r>
      </w:hyperlink>
      <w:r>
        <w:t xml:space="preserve"> настоящей Методики при условии фиксированного цикличного графика работы (включения и отключения) системы наружного освещения при использовании таких технологий.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center"/>
        <w:outlineLvl w:val="1"/>
      </w:pPr>
      <w:r>
        <w:t>IV. Определение расчетно-измерительным способом объема</w:t>
      </w:r>
    </w:p>
    <w:p w:rsidR="004B4BAE" w:rsidRDefault="004B4BAE">
      <w:pPr>
        <w:pStyle w:val="ConsPlusNormal"/>
        <w:jc w:val="center"/>
      </w:pPr>
      <w:r>
        <w:t>потребления энергетического ресурса в натуральном выражении</w:t>
      </w:r>
    </w:p>
    <w:p w:rsidR="004B4BAE" w:rsidRDefault="004B4BAE">
      <w:pPr>
        <w:pStyle w:val="ConsPlusNormal"/>
        <w:jc w:val="center"/>
      </w:pPr>
      <w:r>
        <w:t>для реализации мероприятий по повышению энергетической</w:t>
      </w:r>
    </w:p>
    <w:p w:rsidR="004B4BAE" w:rsidRDefault="004B4BAE">
      <w:pPr>
        <w:pStyle w:val="ConsPlusNormal"/>
        <w:jc w:val="center"/>
      </w:pPr>
      <w:r>
        <w:t>эффективности использования электродвигателей,</w:t>
      </w:r>
    </w:p>
    <w:p w:rsidR="004B4BAE" w:rsidRDefault="004B4BAE">
      <w:pPr>
        <w:pStyle w:val="ConsPlusNormal"/>
        <w:jc w:val="center"/>
      </w:pPr>
      <w:r>
        <w:t>в том числе в составе технологических комплексов</w:t>
      </w:r>
    </w:p>
    <w:p w:rsidR="004B4BAE" w:rsidRDefault="004B4BAE">
      <w:pPr>
        <w:pStyle w:val="ConsPlusNormal"/>
        <w:jc w:val="center"/>
      </w:pPr>
      <w:r>
        <w:t>(насосных, компрессорных и прочих)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ind w:firstLine="540"/>
        <w:jc w:val="both"/>
      </w:pPr>
      <w:r>
        <w:t>4.1. Настоящая глава распространяется на энергопринимающее оборудование, в состав которого включен электродвигатель (далее - энергооборудование), работающее при постоянной нагрузке в режиме одинаковых повторяющихся циклов.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4.2. Для определения расчетно-измерительным способом объема потребления электрической энергии энергооборудованием в базовом и отчетном периодах используется мощность, потребляемая энергооборудованием, и количество часов работы энергооборудования.</w:t>
      </w:r>
    </w:p>
    <w:p w:rsidR="004B4BAE" w:rsidRDefault="004B4BAE">
      <w:pPr>
        <w:pStyle w:val="ConsPlusNormal"/>
        <w:spacing w:before="220"/>
        <w:ind w:firstLine="540"/>
        <w:jc w:val="both"/>
      </w:pPr>
      <w:bookmarkStart w:id="7" w:name="P187"/>
      <w:bookmarkEnd w:id="7"/>
      <w:r>
        <w:t>4.3. Объем потребления электрической энергии энергооборудованием (W</w:t>
      </w:r>
      <w:r>
        <w:rPr>
          <w:vertAlign w:val="subscript"/>
        </w:rPr>
        <w:t>эл.дв</w:t>
      </w:r>
      <w:r>
        <w:t>) в базовом и отчетном периодах определяется по следующей формуле: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center"/>
      </w:pPr>
      <w:r w:rsidRPr="009A4170">
        <w:rPr>
          <w:position w:val="-10"/>
        </w:rPr>
        <w:pict>
          <v:shape id="_x0000_i1034" style="width:131.75pt;height:21.75pt" coordsize="" o:spt="100" adj="0,,0" path="" filled="f" stroked="f">
            <v:stroke joinstyle="miter"/>
            <v:imagedata r:id="rId17" o:title="base_1_196001_32777"/>
            <v:formulas/>
            <v:path o:connecttype="segments"/>
          </v:shape>
        </w:pict>
      </w:r>
      <w:r>
        <w:t xml:space="preserve"> (кВт·ч), (12)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ind w:firstLine="540"/>
        <w:jc w:val="both"/>
      </w:pPr>
      <w:r>
        <w:t>где: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эл.дв.расчет</w:t>
      </w:r>
      <w:r>
        <w:t xml:space="preserve"> - количество часов работы энергооборудования, ч;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эл.дв.изм</w:t>
      </w:r>
      <w:r>
        <w:t xml:space="preserve"> - мощность, потребляемая энергооборудованием в ходе его работы, кВт.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4.4. Количество часов работы энергооборудования (Т</w:t>
      </w:r>
      <w:r>
        <w:rPr>
          <w:vertAlign w:val="subscript"/>
        </w:rPr>
        <w:t>эл.дв.расчет</w:t>
      </w:r>
      <w:r>
        <w:t>) определяется на основании графиков включения и выключения энергооборудования, режимных карт или иных документированных регламентов, позволяющих определить график работы энергооборудования.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4.5. Мощность, потребляемая энергооборудованием в базовом и отчетном периодах, определяется на основе измерений, которые проводятся не ранее чем через 100 часов работы энергооборудования с момента его установки и не ранее чем через 15 минут после включения энергооборудования.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lastRenderedPageBreak/>
        <w:t xml:space="preserve">4.6. Учет снижения мощности, потребляемой энергооборудованием, и (или) количества часов работы энергооборудованием в результате в результате использования технологий интеллектуального управления при определении объема потребления электрической энергии осуществляется в соответствии с </w:t>
      </w:r>
      <w:hyperlink w:anchor="P187" w:history="1">
        <w:r>
          <w:rPr>
            <w:color w:val="0000FF"/>
          </w:rPr>
          <w:t>пунктом 4.3</w:t>
        </w:r>
      </w:hyperlink>
      <w:r>
        <w:t xml:space="preserve"> настоящей Методики при условии фиксированного цикличного режима работы энергооборудования при использовании таких технологий с проведением соответствующих измерений.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4.7. В случаях, когда построить фиксированный цикличный график работы энергооборудования не представляется возможным, определение объема потребления электрической энергии энергооборудованием расчетно-измерительным способом не осуществляется.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center"/>
        <w:outlineLvl w:val="1"/>
      </w:pPr>
      <w:bookmarkStart w:id="8" w:name="P199"/>
      <w:bookmarkEnd w:id="8"/>
      <w:r>
        <w:t>V. Определение расчетно-измерительным способом объема</w:t>
      </w:r>
    </w:p>
    <w:p w:rsidR="004B4BAE" w:rsidRDefault="004B4BAE">
      <w:pPr>
        <w:pStyle w:val="ConsPlusNormal"/>
        <w:jc w:val="center"/>
      </w:pPr>
      <w:r>
        <w:t>потребления энергетического ресурса в натуральном выражении</w:t>
      </w:r>
    </w:p>
    <w:p w:rsidR="004B4BAE" w:rsidRDefault="004B4BAE">
      <w:pPr>
        <w:pStyle w:val="ConsPlusNormal"/>
        <w:jc w:val="center"/>
      </w:pPr>
      <w:r>
        <w:t>для реализации мероприятий по повышению энергетической</w:t>
      </w:r>
    </w:p>
    <w:p w:rsidR="004B4BAE" w:rsidRDefault="004B4BAE">
      <w:pPr>
        <w:pStyle w:val="ConsPlusNormal"/>
        <w:jc w:val="center"/>
      </w:pPr>
      <w:r>
        <w:t>эффективности систем теплоснабжения зданий, строений</w:t>
      </w:r>
    </w:p>
    <w:p w:rsidR="004B4BAE" w:rsidRDefault="004B4BAE">
      <w:pPr>
        <w:pStyle w:val="ConsPlusNormal"/>
        <w:jc w:val="center"/>
      </w:pPr>
      <w:r>
        <w:t>и сооружений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ind w:firstLine="540"/>
        <w:jc w:val="both"/>
      </w:pPr>
      <w:r>
        <w:t>5.1. Настоящая глава распространяется на определение расчетно-измерительным способом объема потребления тепловой энергии в натуральном выражении в базовом периоде водяными системами теплоснабжения зданий, строений, сооружений при отсутствии в точках учета приборов учета тепловой энергии, теплоносителя.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 xml:space="preserve">5.2. Определение объема потребления тепловой энергии в базовом периоде осуществляется расчетным путем, предусмотренным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коммерческого учета тепловой энергии, теплоносителя, утвержденными постановлением Правительства Российской Федерации от 18 ноября 2013 г. N 1034 (Собрание законодательства Российской Федерации, 2013, N 47, ст. 6114), и основывается на пересчете базового показателя по изменению температуры наружного воздуха за базовый период, определенной по данным измерений (наблюдений), в соответствии с </w:t>
      </w:r>
      <w:hyperlink w:anchor="P207" w:history="1">
        <w:r>
          <w:rPr>
            <w:color w:val="0000FF"/>
          </w:rPr>
          <w:t>пунктами 5.3</w:t>
        </w:r>
      </w:hyperlink>
      <w:r>
        <w:t xml:space="preserve"> и </w:t>
      </w:r>
      <w:hyperlink w:anchor="P208" w:history="1">
        <w:r>
          <w:rPr>
            <w:color w:val="0000FF"/>
          </w:rPr>
          <w:t>5.4</w:t>
        </w:r>
      </w:hyperlink>
      <w:r>
        <w:t xml:space="preserve"> настоящей Методики.</w:t>
      </w:r>
    </w:p>
    <w:p w:rsidR="004B4BAE" w:rsidRDefault="004B4BAE">
      <w:pPr>
        <w:pStyle w:val="ConsPlusNormal"/>
        <w:spacing w:before="220"/>
        <w:ind w:firstLine="540"/>
        <w:jc w:val="both"/>
      </w:pPr>
      <w:bookmarkStart w:id="9" w:name="P207"/>
      <w:bookmarkEnd w:id="9"/>
      <w:r>
        <w:t>5.3. В качестве базового показателя принимается значение тепловой нагрузки, указанное в договоре теплоснабжения.</w:t>
      </w:r>
    </w:p>
    <w:p w:rsidR="004B4BAE" w:rsidRDefault="004B4BAE">
      <w:pPr>
        <w:pStyle w:val="ConsPlusNormal"/>
        <w:spacing w:before="220"/>
        <w:ind w:firstLine="540"/>
        <w:jc w:val="both"/>
      </w:pPr>
      <w:bookmarkStart w:id="10" w:name="P208"/>
      <w:bookmarkEnd w:id="10"/>
      <w:r>
        <w:t>5.4. Пересчет базового показателя производится по фактической среднесуточной температуре наружного воздуха за базовый период,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власти, осуществляющего функции оказания государственных услуг в области гидрометеорологии.</w:t>
      </w:r>
    </w:p>
    <w:p w:rsidR="004B4BAE" w:rsidRDefault="004B4BAE">
      <w:pPr>
        <w:pStyle w:val="ConsPlusNormal"/>
        <w:spacing w:before="220"/>
        <w:ind w:firstLine="540"/>
        <w:jc w:val="both"/>
      </w:pPr>
      <w:r>
        <w:t>5.5. Определение объема потребления тепловой энергии, теплоносителя после реализации мероприятий по повышению энергетической эффективности осуществляется по приборам учета тепловой энергии, теплоносителя.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both"/>
      </w:pPr>
    </w:p>
    <w:p w:rsidR="004B4BAE" w:rsidRDefault="004B4BAE">
      <w:pPr>
        <w:sectPr w:rsidR="004B4BAE" w:rsidSect="003B2D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4BAE" w:rsidRDefault="004B4BAE">
      <w:pPr>
        <w:pStyle w:val="ConsPlusNormal"/>
        <w:jc w:val="right"/>
        <w:outlineLvl w:val="1"/>
      </w:pPr>
      <w:r>
        <w:lastRenderedPageBreak/>
        <w:t>Приложение</w:t>
      </w:r>
    </w:p>
    <w:p w:rsidR="004B4BAE" w:rsidRDefault="004B4BAE">
      <w:pPr>
        <w:pStyle w:val="ConsPlusNormal"/>
        <w:jc w:val="right"/>
      </w:pPr>
      <w:r>
        <w:t>к методике определения</w:t>
      </w:r>
    </w:p>
    <w:p w:rsidR="004B4BAE" w:rsidRDefault="004B4BAE">
      <w:pPr>
        <w:pStyle w:val="ConsPlusNormal"/>
        <w:jc w:val="right"/>
      </w:pPr>
      <w:r>
        <w:t>расчетно-измерительным способом</w:t>
      </w:r>
    </w:p>
    <w:p w:rsidR="004B4BAE" w:rsidRDefault="004B4BAE">
      <w:pPr>
        <w:pStyle w:val="ConsPlusNormal"/>
        <w:jc w:val="right"/>
      </w:pPr>
      <w:r>
        <w:t>объема потребления энергетического</w:t>
      </w:r>
    </w:p>
    <w:p w:rsidR="004B4BAE" w:rsidRDefault="004B4BAE">
      <w:pPr>
        <w:pStyle w:val="ConsPlusNormal"/>
        <w:jc w:val="right"/>
      </w:pPr>
      <w:r>
        <w:t>ресурса в натуральном выражении</w:t>
      </w:r>
    </w:p>
    <w:p w:rsidR="004B4BAE" w:rsidRDefault="004B4BAE">
      <w:pPr>
        <w:pStyle w:val="ConsPlusNormal"/>
        <w:jc w:val="right"/>
      </w:pPr>
      <w:r>
        <w:t>для реализации мероприятий,</w:t>
      </w:r>
    </w:p>
    <w:p w:rsidR="004B4BAE" w:rsidRDefault="004B4BAE">
      <w:pPr>
        <w:pStyle w:val="ConsPlusNormal"/>
        <w:jc w:val="right"/>
      </w:pPr>
      <w:r>
        <w:t>направленных на энергосбережение</w:t>
      </w:r>
    </w:p>
    <w:p w:rsidR="004B4BAE" w:rsidRDefault="004B4BAE">
      <w:pPr>
        <w:pStyle w:val="ConsPlusNormal"/>
        <w:jc w:val="right"/>
      </w:pPr>
      <w:r>
        <w:t>и повышение энергетической</w:t>
      </w:r>
    </w:p>
    <w:p w:rsidR="004B4BAE" w:rsidRDefault="004B4BAE">
      <w:pPr>
        <w:pStyle w:val="ConsPlusNormal"/>
        <w:jc w:val="right"/>
      </w:pPr>
      <w:r>
        <w:t>эффективности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right"/>
      </w:pPr>
      <w:r>
        <w:t>(рекомендуемый образец)</w:t>
      </w: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center"/>
      </w:pPr>
      <w:r>
        <w:t>ВЕДОМОСТЬ</w:t>
      </w:r>
    </w:p>
    <w:p w:rsidR="004B4BAE" w:rsidRDefault="004B4BAE">
      <w:pPr>
        <w:pStyle w:val="ConsPlusNormal"/>
        <w:jc w:val="center"/>
      </w:pPr>
      <w:r>
        <w:t>измерений (наблюдений) числа часов работы световых приборов</w:t>
      </w:r>
    </w:p>
    <w:p w:rsidR="004B4BAE" w:rsidRDefault="004B4BAE">
      <w:pPr>
        <w:pStyle w:val="ConsPlusNormal"/>
        <w:jc w:val="center"/>
      </w:pPr>
      <w:r>
        <w:t>для различных категорий помещений</w:t>
      </w:r>
    </w:p>
    <w:p w:rsidR="004B4BAE" w:rsidRDefault="004B4BA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654"/>
        <w:gridCol w:w="4252"/>
      </w:tblGrid>
      <w:tr w:rsidR="004B4BAE">
        <w:tc>
          <w:tcPr>
            <w:tcW w:w="2721" w:type="dxa"/>
            <w:vMerge w:val="restart"/>
          </w:tcPr>
          <w:p w:rsidR="004B4BAE" w:rsidRDefault="004B4BAE">
            <w:pPr>
              <w:pStyle w:val="ConsPlusNormal"/>
              <w:jc w:val="center"/>
            </w:pPr>
            <w:r>
              <w:t>Категория помещения</w:t>
            </w:r>
          </w:p>
        </w:tc>
        <w:tc>
          <w:tcPr>
            <w:tcW w:w="6906" w:type="dxa"/>
            <w:gridSpan w:val="2"/>
          </w:tcPr>
          <w:p w:rsidR="004B4BAE" w:rsidRDefault="004B4BAE">
            <w:pPr>
              <w:pStyle w:val="ConsPlusNormal"/>
              <w:jc w:val="center"/>
            </w:pPr>
            <w:r>
              <w:t>Среднее количество часов работы, ч</w:t>
            </w:r>
          </w:p>
        </w:tc>
      </w:tr>
      <w:tr w:rsidR="004B4BAE">
        <w:tc>
          <w:tcPr>
            <w:tcW w:w="2721" w:type="dxa"/>
            <w:vMerge/>
          </w:tcPr>
          <w:p w:rsidR="004B4BAE" w:rsidRDefault="004B4BAE"/>
        </w:tc>
        <w:tc>
          <w:tcPr>
            <w:tcW w:w="2654" w:type="dxa"/>
          </w:tcPr>
          <w:p w:rsidR="004B4BAE" w:rsidRDefault="004B4BAE">
            <w:pPr>
              <w:pStyle w:val="ConsPlusNormal"/>
              <w:jc w:val="center"/>
            </w:pPr>
            <w:r>
              <w:t>рабочие дни (T</w:t>
            </w:r>
            <w:r>
              <w:rPr>
                <w:vertAlign w:val="subscript"/>
              </w:rPr>
              <w:t>iср.р.</w:t>
            </w:r>
            <w:r>
              <w:t>)</w:t>
            </w:r>
          </w:p>
        </w:tc>
        <w:tc>
          <w:tcPr>
            <w:tcW w:w="4252" w:type="dxa"/>
          </w:tcPr>
          <w:p w:rsidR="004B4BAE" w:rsidRDefault="004B4BAE">
            <w:pPr>
              <w:pStyle w:val="ConsPlusNormal"/>
              <w:jc w:val="center"/>
            </w:pPr>
            <w:r>
              <w:t>нерабочие дни (выходные, праздники, каникулы) (T</w:t>
            </w:r>
            <w:r>
              <w:rPr>
                <w:vertAlign w:val="subscript"/>
              </w:rPr>
              <w:t>iср.н.</w:t>
            </w:r>
            <w:r>
              <w:t>)</w:t>
            </w:r>
          </w:p>
        </w:tc>
      </w:tr>
      <w:tr w:rsidR="004B4BAE">
        <w:tc>
          <w:tcPr>
            <w:tcW w:w="2721" w:type="dxa"/>
          </w:tcPr>
          <w:p w:rsidR="004B4BAE" w:rsidRDefault="004B4BAE">
            <w:pPr>
              <w:pStyle w:val="ConsPlusNormal"/>
            </w:pPr>
          </w:p>
        </w:tc>
        <w:tc>
          <w:tcPr>
            <w:tcW w:w="2654" w:type="dxa"/>
          </w:tcPr>
          <w:p w:rsidR="004B4BAE" w:rsidRDefault="004B4BAE">
            <w:pPr>
              <w:pStyle w:val="ConsPlusNormal"/>
            </w:pPr>
          </w:p>
        </w:tc>
        <w:tc>
          <w:tcPr>
            <w:tcW w:w="4252" w:type="dxa"/>
          </w:tcPr>
          <w:p w:rsidR="004B4BAE" w:rsidRDefault="004B4BAE">
            <w:pPr>
              <w:pStyle w:val="ConsPlusNormal"/>
            </w:pPr>
          </w:p>
        </w:tc>
      </w:tr>
      <w:tr w:rsidR="004B4BAE">
        <w:tc>
          <w:tcPr>
            <w:tcW w:w="2721" w:type="dxa"/>
          </w:tcPr>
          <w:p w:rsidR="004B4BAE" w:rsidRDefault="004B4BAE">
            <w:pPr>
              <w:pStyle w:val="ConsPlusNormal"/>
            </w:pPr>
          </w:p>
        </w:tc>
        <w:tc>
          <w:tcPr>
            <w:tcW w:w="2654" w:type="dxa"/>
          </w:tcPr>
          <w:p w:rsidR="004B4BAE" w:rsidRDefault="004B4BAE">
            <w:pPr>
              <w:pStyle w:val="ConsPlusNormal"/>
            </w:pPr>
          </w:p>
        </w:tc>
        <w:tc>
          <w:tcPr>
            <w:tcW w:w="4252" w:type="dxa"/>
          </w:tcPr>
          <w:p w:rsidR="004B4BAE" w:rsidRDefault="004B4BAE">
            <w:pPr>
              <w:pStyle w:val="ConsPlusNormal"/>
            </w:pPr>
          </w:p>
        </w:tc>
      </w:tr>
      <w:tr w:rsidR="004B4BAE">
        <w:tc>
          <w:tcPr>
            <w:tcW w:w="2721" w:type="dxa"/>
          </w:tcPr>
          <w:p w:rsidR="004B4BAE" w:rsidRDefault="004B4BAE">
            <w:pPr>
              <w:pStyle w:val="ConsPlusNormal"/>
            </w:pPr>
          </w:p>
        </w:tc>
        <w:tc>
          <w:tcPr>
            <w:tcW w:w="2654" w:type="dxa"/>
          </w:tcPr>
          <w:p w:rsidR="004B4BAE" w:rsidRDefault="004B4BAE">
            <w:pPr>
              <w:pStyle w:val="ConsPlusNormal"/>
            </w:pPr>
          </w:p>
        </w:tc>
        <w:tc>
          <w:tcPr>
            <w:tcW w:w="4252" w:type="dxa"/>
          </w:tcPr>
          <w:p w:rsidR="004B4BAE" w:rsidRDefault="004B4BAE">
            <w:pPr>
              <w:pStyle w:val="ConsPlusNormal"/>
            </w:pPr>
          </w:p>
        </w:tc>
      </w:tr>
    </w:tbl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jc w:val="both"/>
      </w:pPr>
    </w:p>
    <w:p w:rsidR="004B4BAE" w:rsidRDefault="004B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4B4BAE">
      <w:bookmarkStart w:id="11" w:name="_GoBack"/>
      <w:bookmarkEnd w:id="11"/>
    </w:p>
    <w:sectPr w:rsidR="00DF74B0" w:rsidSect="009A417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AE"/>
    <w:rsid w:val="000B2DB1"/>
    <w:rsid w:val="004B4BAE"/>
    <w:rsid w:val="00C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0F13AB4DA9403AC8754588B540FCE54AAD3D06F06E2B7BBEAA85F635LBhDI" TargetMode="External"/><Relationship Id="rId18" Type="http://schemas.openxmlformats.org/officeDocument/2006/relationships/hyperlink" Target="consultantplus://offline/ref=0F13AB4DA9403AC8754588B540FCE54AAB3A09F0682226B4A2DCFA37BA4433B0C46AB4F5137FB29EL1h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3AB4DA9403AC8754588B540FCE54AA8380CF0682626B4A2DCFA37BA4433B0C46AB4F5137FB29FL1h5I" TargetMode="External"/><Relationship Id="rId11" Type="http://schemas.openxmlformats.org/officeDocument/2006/relationships/image" Target="media/image5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8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2018-06-27T08:33:00Z</dcterms:created>
  <dcterms:modified xsi:type="dcterms:W3CDTF">2018-06-27T08:33:00Z</dcterms:modified>
</cp:coreProperties>
</file>